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313" w:tblpY="453"/>
        <w:tblOverlap w:val="never"/>
        <w:tblW w:w="16236" w:type="dxa"/>
        <w:tblCellSpacing w:w="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3107"/>
        <w:gridCol w:w="906"/>
        <w:gridCol w:w="1094"/>
        <w:gridCol w:w="730"/>
        <w:gridCol w:w="1000"/>
        <w:gridCol w:w="1433"/>
        <w:gridCol w:w="894"/>
        <w:gridCol w:w="1761"/>
        <w:gridCol w:w="1605"/>
        <w:gridCol w:w="17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tblCellSpacing w:w="0" w:type="dxa"/>
        </w:trPr>
        <w:tc>
          <w:tcPr>
            <w:tcW w:w="1942" w:type="dxa"/>
            <w:vMerge w:val="restart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3107" w:type="dxa"/>
            <w:vMerge w:val="restart"/>
            <w:tcBorders>
              <w:bottom w:val="dotted" w:color="A6A6A6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</w:p>
        </w:tc>
        <w:tc>
          <w:tcPr>
            <w:tcW w:w="906" w:type="dxa"/>
            <w:vMerge w:val="restart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БАЗОВАЯ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СТАВКА</w:t>
            </w:r>
          </w:p>
        </w:tc>
        <w:tc>
          <w:tcPr>
            <w:tcW w:w="1824" w:type="dxa"/>
            <w:gridSpan w:val="2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ЗАРПЛАТНИК или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ПАРТНЕР БАНКА</w:t>
            </w:r>
          </w:p>
        </w:tc>
        <w:tc>
          <w:tcPr>
            <w:tcW w:w="1000" w:type="dxa"/>
            <w:vMerge w:val="restart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ПВ &lt; 10%</w:t>
            </w:r>
          </w:p>
        </w:tc>
        <w:tc>
          <w:tcPr>
            <w:tcW w:w="1433" w:type="dxa"/>
            <w:vMerge w:val="restart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20%&gt;ПВ≥10%</w:t>
            </w:r>
          </w:p>
        </w:tc>
        <w:tc>
          <w:tcPr>
            <w:tcW w:w="894" w:type="dxa"/>
            <w:vMerge w:val="restart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ПВ≥20%</w:t>
            </w:r>
          </w:p>
        </w:tc>
        <w:tc>
          <w:tcPr>
            <w:tcW w:w="3366" w:type="dxa"/>
            <w:gridSpan w:val="2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Страхование жизни/титульное****</w:t>
            </w:r>
          </w:p>
        </w:tc>
        <w:tc>
          <w:tcPr>
            <w:tcW w:w="1764" w:type="dxa"/>
            <w:vMerge w:val="restart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MAX СТАВКА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1942" w:type="dxa"/>
            <w:vMerge w:val="continue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107" w:type="dxa"/>
            <w:vMerge w:val="continue"/>
            <w:tcBorders>
              <w:bottom w:val="dotted" w:color="A6A6A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094" w:type="dxa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ДА</w:t>
            </w:r>
          </w:p>
        </w:tc>
        <w:tc>
          <w:tcPr>
            <w:tcW w:w="730" w:type="dxa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НЕТ</w:t>
            </w:r>
          </w:p>
        </w:tc>
        <w:tc>
          <w:tcPr>
            <w:tcW w:w="1000" w:type="dxa"/>
            <w:vMerge w:val="continue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894" w:type="dxa"/>
            <w:vMerge w:val="continue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ДА</w:t>
            </w:r>
          </w:p>
        </w:tc>
        <w:tc>
          <w:tcPr>
            <w:tcW w:w="1605" w:type="dxa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FFFFFF"/>
                <w:sz w:val="24"/>
                <w:szCs w:val="24"/>
              </w:rPr>
              <w:t>НЕТ</w:t>
            </w:r>
          </w:p>
        </w:tc>
        <w:tc>
          <w:tcPr>
            <w:tcW w:w="1764" w:type="dxa"/>
            <w:vMerge w:val="continue"/>
            <w:tcBorders>
              <w:bottom w:val="dotted" w:color="A6A6A6" w:sz="6" w:space="0"/>
            </w:tcBorders>
            <w:shd w:val="clear" w:color="auto" w:fill="376092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tblCellSpacing w:w="0" w:type="dxa"/>
        </w:trPr>
        <w:tc>
          <w:tcPr>
            <w:tcW w:w="1942" w:type="dxa"/>
            <w:vMerge w:val="restart"/>
            <w:tcBorders>
              <w:bottom w:val="dotted" w:color="A6A6A6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8"/>
                <w:szCs w:val="28"/>
              </w:rPr>
              <w:t>Апартаменты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8"/>
                <w:szCs w:val="28"/>
              </w:rPr>
              <w:t>Первичный 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8"/>
                <w:szCs w:val="28"/>
              </w:rPr>
              <w:t> Вторичный рынки</w:t>
            </w:r>
          </w:p>
        </w:tc>
        <w:tc>
          <w:tcPr>
            <w:tcW w:w="3107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4"/>
                <w:szCs w:val="24"/>
              </w:rPr>
              <w:t>Базовые процентные ставки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4"/>
                <w:szCs w:val="24"/>
              </w:rPr>
              <w:t> Σ ≥ 10 млн / Σ ≥ 5 млн </w:t>
            </w:r>
          </w:p>
        </w:tc>
        <w:tc>
          <w:tcPr>
            <w:tcW w:w="906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000000"/>
                <w:sz w:val="26"/>
                <w:szCs w:val="26"/>
              </w:rPr>
              <w:t>8,8%</w:t>
            </w:r>
          </w:p>
        </w:tc>
        <w:tc>
          <w:tcPr>
            <w:tcW w:w="1094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+0%</w:t>
            </w:r>
          </w:p>
        </w:tc>
        <w:tc>
          <w:tcPr>
            <w:tcW w:w="730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+0,3%</w:t>
            </w:r>
          </w:p>
        </w:tc>
        <w:tc>
          <w:tcPr>
            <w:tcW w:w="1000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+1,0%</w:t>
            </w:r>
          </w:p>
        </w:tc>
        <w:tc>
          <w:tcPr>
            <w:tcW w:w="1433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+0,5%</w:t>
            </w:r>
          </w:p>
        </w:tc>
        <w:tc>
          <w:tcPr>
            <w:tcW w:w="894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+0%</w:t>
            </w:r>
          </w:p>
        </w:tc>
        <w:tc>
          <w:tcPr>
            <w:tcW w:w="1761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+0%</w:t>
            </w:r>
          </w:p>
        </w:tc>
        <w:tc>
          <w:tcPr>
            <w:tcW w:w="1605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+1,0%*</w:t>
            </w:r>
          </w:p>
        </w:tc>
        <w:tc>
          <w:tcPr>
            <w:tcW w:w="1764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000000"/>
                <w:sz w:val="26"/>
                <w:szCs w:val="26"/>
              </w:rPr>
              <w:t>11,1%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tblCellSpacing w:w="0" w:type="dxa"/>
        </w:trPr>
        <w:tc>
          <w:tcPr>
            <w:tcW w:w="1942" w:type="dxa"/>
            <w:vMerge w:val="continue"/>
            <w:tcBorders>
              <w:bottom w:val="dotted" w:color="A6A6A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107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4"/>
                <w:szCs w:val="24"/>
              </w:rPr>
              <w:t>Базовые процентные ставки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4"/>
                <w:szCs w:val="24"/>
              </w:rPr>
              <w:t>6 млн ≤ Σ &lt; 10 млн / 3 млн ≤  Σ &lt; 5 млн</w:t>
            </w:r>
          </w:p>
        </w:tc>
        <w:tc>
          <w:tcPr>
            <w:tcW w:w="906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000000"/>
                <w:sz w:val="26"/>
                <w:szCs w:val="26"/>
              </w:rPr>
              <w:t>9,2%</w:t>
            </w:r>
          </w:p>
        </w:tc>
        <w:tc>
          <w:tcPr>
            <w:tcW w:w="1094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+0%</w:t>
            </w:r>
          </w:p>
        </w:tc>
        <w:tc>
          <w:tcPr>
            <w:tcW w:w="730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+0,3%</w:t>
            </w:r>
          </w:p>
        </w:tc>
        <w:tc>
          <w:tcPr>
            <w:tcW w:w="1000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+1,0%</w:t>
            </w:r>
          </w:p>
        </w:tc>
        <w:tc>
          <w:tcPr>
            <w:tcW w:w="1433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+0,5%</w:t>
            </w:r>
          </w:p>
        </w:tc>
        <w:tc>
          <w:tcPr>
            <w:tcW w:w="894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+0%</w:t>
            </w:r>
          </w:p>
        </w:tc>
        <w:tc>
          <w:tcPr>
            <w:tcW w:w="1761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+0%</w:t>
            </w:r>
          </w:p>
        </w:tc>
        <w:tc>
          <w:tcPr>
            <w:tcW w:w="1605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+1,0%*</w:t>
            </w:r>
          </w:p>
        </w:tc>
        <w:tc>
          <w:tcPr>
            <w:tcW w:w="1764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000000"/>
                <w:sz w:val="26"/>
                <w:szCs w:val="26"/>
              </w:rPr>
              <w:t>11,5%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tblCellSpacing w:w="0" w:type="dxa"/>
        </w:trPr>
        <w:tc>
          <w:tcPr>
            <w:tcW w:w="1942" w:type="dxa"/>
            <w:vMerge w:val="continue"/>
            <w:tcBorders>
              <w:bottom w:val="dotted" w:color="A6A6A6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3107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4"/>
                <w:szCs w:val="24"/>
              </w:rPr>
              <w:t>Базовые процентные ставки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4"/>
                <w:szCs w:val="24"/>
              </w:rPr>
              <w:t>Σ &lt; 6 млн / Σ &lt; 3 млн</w:t>
            </w:r>
          </w:p>
        </w:tc>
        <w:tc>
          <w:tcPr>
            <w:tcW w:w="906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000000"/>
                <w:sz w:val="26"/>
                <w:szCs w:val="26"/>
              </w:rPr>
              <w:t>10,1%</w:t>
            </w:r>
          </w:p>
        </w:tc>
        <w:tc>
          <w:tcPr>
            <w:tcW w:w="1094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+0%</w:t>
            </w:r>
          </w:p>
        </w:tc>
        <w:tc>
          <w:tcPr>
            <w:tcW w:w="730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+0,3%</w:t>
            </w:r>
          </w:p>
        </w:tc>
        <w:tc>
          <w:tcPr>
            <w:tcW w:w="1000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+1,0%</w:t>
            </w:r>
          </w:p>
        </w:tc>
        <w:tc>
          <w:tcPr>
            <w:tcW w:w="1433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+0,5%</w:t>
            </w:r>
          </w:p>
        </w:tc>
        <w:tc>
          <w:tcPr>
            <w:tcW w:w="894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+0%</w:t>
            </w:r>
          </w:p>
        </w:tc>
        <w:tc>
          <w:tcPr>
            <w:tcW w:w="1761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+0%</w:t>
            </w:r>
          </w:p>
        </w:tc>
        <w:tc>
          <w:tcPr>
            <w:tcW w:w="1605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+1,0%*</w:t>
            </w:r>
          </w:p>
        </w:tc>
        <w:tc>
          <w:tcPr>
            <w:tcW w:w="1764" w:type="dxa"/>
            <w:tcBorders>
              <w:bottom w:val="dotted" w:color="A6A6A6" w:sz="6" w:space="0"/>
            </w:tcBorders>
            <w:shd w:val="clear" w:color="auto" w:fill="D6E7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000000"/>
                <w:sz w:val="26"/>
                <w:szCs w:val="26"/>
              </w:rPr>
              <w:t>12,4%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tblCellSpacing w:w="0" w:type="dxa"/>
        </w:trPr>
        <w:tc>
          <w:tcPr>
            <w:tcW w:w="1942" w:type="dxa"/>
            <w:tcBorders>
              <w:bottom w:val="dotted" w:color="A6A6A6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8"/>
                <w:szCs w:val="28"/>
              </w:rPr>
              <w:t>Апартаменты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8"/>
                <w:szCs w:val="28"/>
              </w:rPr>
              <w:t>Рефинансирование</w:t>
            </w:r>
          </w:p>
        </w:tc>
        <w:tc>
          <w:tcPr>
            <w:tcW w:w="3107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i/>
                <w:iCs/>
                <w:color w:val="000000"/>
                <w:sz w:val="24"/>
                <w:szCs w:val="24"/>
              </w:rPr>
              <w:t>Базовые процентные ставки</w:t>
            </w:r>
          </w:p>
        </w:tc>
        <w:tc>
          <w:tcPr>
            <w:tcW w:w="906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000000"/>
                <w:sz w:val="26"/>
                <w:szCs w:val="26"/>
              </w:rPr>
              <w:t>9,6%</w:t>
            </w:r>
          </w:p>
        </w:tc>
        <w:tc>
          <w:tcPr>
            <w:tcW w:w="1094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-</w:t>
            </w:r>
          </w:p>
        </w:tc>
        <w:tc>
          <w:tcPr>
            <w:tcW w:w="730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00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33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-</w:t>
            </w:r>
          </w:p>
        </w:tc>
        <w:tc>
          <w:tcPr>
            <w:tcW w:w="894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61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+0%</w:t>
            </w:r>
          </w:p>
        </w:tc>
        <w:tc>
          <w:tcPr>
            <w:tcW w:w="1605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color w:val="000000"/>
                <w:sz w:val="26"/>
                <w:szCs w:val="26"/>
              </w:rPr>
              <w:t>+1,0%*</w:t>
            </w:r>
          </w:p>
        </w:tc>
        <w:tc>
          <w:tcPr>
            <w:tcW w:w="1764" w:type="dxa"/>
            <w:tcBorders>
              <w:bottom w:val="dotted" w:color="A6A6A6" w:sz="6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 Narrow" w:hAnsi="Arial Narrow" w:eastAsia="Arial Narrow" w:cs="Arial Narrow"/>
                <w:b/>
                <w:bCs/>
                <w:color w:val="000000"/>
                <w:sz w:val="26"/>
                <w:szCs w:val="26"/>
              </w:rPr>
              <w:t>10,6%</w:t>
            </w:r>
          </w:p>
        </w:tc>
      </w:tr>
    </w:tbl>
    <w:p/>
    <w:p/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helv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Лежнина Анастасия</w:t>
      </w:r>
      <w:r>
        <w:rPr>
          <w:rFonts w:hint="default" w:ascii="Times New Roman" w:hAnsi="Times New Roman" w:eastAsia="helv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Главный менеджер по партнерским продажам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Сектора ипотечных продаж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Омской дирекции по развитию бизнеса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Филиала "Газпромбанк" (Акционерное общество)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"Западно-Сибирский"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вн. 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</w:t>
      </w:r>
      <w:r>
        <w:rPr>
          <w:rFonts w:hint="default" w:ascii="Times New Roman" w:hAnsi="Times New Roman" w:eastAsia="helv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355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) </w:t>
      </w:r>
      <w:r>
        <w:rPr>
          <w:rFonts w:hint="default" w:ascii="Times New Roman" w:hAnsi="Times New Roman" w:eastAsia="helv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4173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, </w:t>
      </w:r>
      <w:r>
        <w:rPr>
          <w:rFonts w:hint="default" w:ascii="Times New Roman" w:hAnsi="Times New Roman" w:eastAsia="helv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тел. 8-965-877-47-75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8"/>
          <w:szCs w:val="28"/>
          <w:shd w:val="clear" w:fill="FFFFFF"/>
          <w:lang w:val="en-US"/>
        </w:rPr>
        <w:fldChar w:fldCharType="begin"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8"/>
          <w:szCs w:val="28"/>
          <w:shd w:val="clear" w:fill="FFFFFF"/>
          <w:lang w:val="en-US"/>
        </w:rPr>
        <w:instrText xml:space="preserve"> HYPERLINK "mailto:ipoteka55omsk@gazprombank.ru" </w:instrTex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8"/>
          <w:szCs w:val="28"/>
          <w:shd w:val="clear" w:fill="FFFFFF"/>
          <w:lang w:val="en-US"/>
        </w:rPr>
        <w:fldChar w:fldCharType="separate"/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0563C1"/>
          <w:spacing w:val="0"/>
          <w:sz w:val="28"/>
          <w:szCs w:val="28"/>
          <w:shd w:val="clear" w:fill="FFFFFF"/>
          <w:lang w:val="en-US"/>
        </w:rPr>
        <w:t>ipoteka</w:t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0563C1"/>
          <w:spacing w:val="0"/>
          <w:sz w:val="28"/>
          <w:szCs w:val="28"/>
          <w:shd w:val="clear" w:fill="FFFFFF"/>
          <w:lang w:val="ru"/>
        </w:rPr>
        <w:t>55</w:t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0563C1"/>
          <w:spacing w:val="0"/>
          <w:sz w:val="28"/>
          <w:szCs w:val="28"/>
          <w:shd w:val="clear" w:fill="FFFFFF"/>
          <w:lang w:val="en-US"/>
        </w:rPr>
        <w:t>omsk</w:t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0563C1"/>
          <w:spacing w:val="0"/>
          <w:sz w:val="28"/>
          <w:szCs w:val="28"/>
          <w:shd w:val="clear" w:fill="FFFFFF"/>
          <w:lang w:val="ru"/>
        </w:rPr>
        <w:t>@</w:t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0563C1"/>
          <w:spacing w:val="0"/>
          <w:sz w:val="28"/>
          <w:szCs w:val="28"/>
          <w:shd w:val="clear" w:fill="FFFFFF"/>
          <w:lang w:val="en-US"/>
        </w:rPr>
        <w:t>gazprombank</w:t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0563C1"/>
          <w:spacing w:val="0"/>
          <w:sz w:val="28"/>
          <w:szCs w:val="28"/>
          <w:shd w:val="clear" w:fill="FFFFFF"/>
          <w:lang w:val="ru"/>
        </w:rPr>
        <w:t>.</w:t>
      </w:r>
      <w:r>
        <w:rPr>
          <w:rStyle w:val="4"/>
          <w:rFonts w:hint="default" w:ascii="Times New Roman" w:hAnsi="Times New Roman" w:eastAsia="Helvetica" w:cs="Times New Roman"/>
          <w:i w:val="0"/>
          <w:iCs w:val="0"/>
          <w:caps w:val="0"/>
          <w:color w:val="0563C1"/>
          <w:spacing w:val="0"/>
          <w:sz w:val="28"/>
          <w:szCs w:val="28"/>
          <w:shd w:val="clear" w:fill="FFFFFF"/>
          <w:lang w:val="en-US"/>
        </w:rPr>
        <w:t>ru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8"/>
          <w:szCs w:val="28"/>
          <w:shd w:val="clear" w:fill="FFFFFF"/>
          <w:lang w:val="en-US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222CC"/>
          <w:spacing w:val="0"/>
          <w:sz w:val="28"/>
          <w:szCs w:val="28"/>
          <w:u w:val="none"/>
          <w:shd w:val="clear" w:fill="FFFFFF"/>
        </w:rPr>
        <w:t>г.Омск, ул. Красный Путь, д. 63, 2 этаж</w:t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helv">
    <w:altName w:val="Arleki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lekino">
    <w:panose1 w:val="02000400000000000000"/>
    <w:charset w:val="00"/>
    <w:family w:val="auto"/>
    <w:pitch w:val="default"/>
    <w:sig w:usb0="800002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2021-09-22T04:44:17Z</dcterms:created>
  <dc:creator>user-1</dc:creator>
  <cp:lastModifiedBy>user-1</cp:lastModifiedBy>
  <dcterms:modified xsi:type="dcterms:W3CDTF">2021-09-22T04:47:26Z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